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84" w:rsidRDefault="00135C84" w:rsidP="00DB56B8"/>
    <w:p w:rsidR="00DB56B8" w:rsidRDefault="00DB56B8" w:rsidP="00DB56B8"/>
    <w:p w:rsidR="00DB56B8" w:rsidRPr="001E671B" w:rsidRDefault="00DB56B8" w:rsidP="00DB56B8">
      <w:pPr>
        <w:pStyle w:val="Sangradetextonormal"/>
        <w:ind w:left="0"/>
        <w:outlineLvl w:val="0"/>
        <w:rPr>
          <w:rFonts w:ascii="Trebuchet MS" w:hAnsi="Trebuchet MS"/>
          <w:color w:val="000000"/>
          <w:szCs w:val="24"/>
        </w:rPr>
      </w:pPr>
      <w:r w:rsidRPr="001E671B">
        <w:rPr>
          <w:rFonts w:ascii="Trebuchet MS" w:hAnsi="Trebuchet MS"/>
          <w:b/>
          <w:color w:val="000000"/>
          <w:szCs w:val="24"/>
        </w:rPr>
        <w:t xml:space="preserve">INSTRUCCIONES PARA </w:t>
      </w:r>
      <w:smartTag w:uri="urn:schemas-microsoft-com:office:smarttags" w:element="PersonName">
        <w:smartTagPr>
          <w:attr w:name="ProductID" w:val="LA REDACCIￓN DEL"/>
        </w:smartTagPr>
        <w:r w:rsidRPr="001E671B">
          <w:rPr>
            <w:rFonts w:ascii="Trebuchet MS" w:hAnsi="Trebuchet MS"/>
            <w:b/>
            <w:color w:val="000000"/>
            <w:szCs w:val="24"/>
          </w:rPr>
          <w:t>LA REDACCIÓN DEL</w:t>
        </w:r>
      </w:smartTag>
      <w:r w:rsidRPr="001E671B">
        <w:rPr>
          <w:rFonts w:ascii="Trebuchet MS" w:hAnsi="Trebuchet MS"/>
          <w:b/>
          <w:color w:val="000000"/>
          <w:szCs w:val="24"/>
        </w:rPr>
        <w:t xml:space="preserve"> PLIEGO DE PRESCRIPCIONES TÉCNICAS </w:t>
      </w:r>
    </w:p>
    <w:p w:rsidR="00DB56B8" w:rsidRPr="001E671B" w:rsidRDefault="00DB56B8" w:rsidP="00DB56B8">
      <w:pPr>
        <w:pStyle w:val="Default"/>
        <w:numPr>
          <w:ilvl w:val="0"/>
          <w:numId w:val="1"/>
        </w:numPr>
        <w:ind w:left="0" w:firstLine="284"/>
        <w:jc w:val="both"/>
        <w:rPr>
          <w:rFonts w:ascii="Trebuchet MS" w:hAnsi="Trebuchet MS" w:cs="Tahoma"/>
          <w:bCs/>
        </w:rPr>
      </w:pPr>
      <w:r w:rsidRPr="001E671B">
        <w:rPr>
          <w:rFonts w:ascii="Trebuchet MS" w:hAnsi="Trebuchet MS" w:cs="Tahoma"/>
          <w:bCs/>
        </w:rPr>
        <w:t>En los pliegos de prescripciones técnicas debe describirse con la suficiente precisión el objeto del contrato y las características mínimas del mismo.</w:t>
      </w:r>
    </w:p>
    <w:p w:rsidR="00DB56B8" w:rsidRPr="00CA18D2" w:rsidRDefault="00DB56B8" w:rsidP="00DB56B8">
      <w:pPr>
        <w:pStyle w:val="Default"/>
        <w:numPr>
          <w:ilvl w:val="0"/>
          <w:numId w:val="1"/>
        </w:numPr>
        <w:ind w:left="0" w:firstLine="284"/>
        <w:jc w:val="both"/>
        <w:rPr>
          <w:rFonts w:ascii="Trebuchet MS" w:hAnsi="Trebuchet MS" w:cs="Tahoma"/>
          <w:b/>
          <w:bCs/>
          <w:i/>
          <w:color w:val="auto"/>
        </w:rPr>
      </w:pPr>
      <w:r w:rsidRPr="001E671B">
        <w:rPr>
          <w:rFonts w:ascii="Trebuchet MS" w:hAnsi="Trebuchet MS" w:cs="Tahoma"/>
          <w:bCs/>
        </w:rPr>
        <w:t xml:space="preserve">Debe tenerse en cuenta, especialmente, lo dispuesto en el </w:t>
      </w:r>
      <w:r>
        <w:rPr>
          <w:rFonts w:ascii="Trebuchet MS" w:hAnsi="Trebuchet MS" w:cs="Tahoma"/>
          <w:b/>
          <w:bCs/>
          <w:color w:val="auto"/>
        </w:rPr>
        <w:t>a</w:t>
      </w:r>
      <w:r w:rsidRPr="008E0169">
        <w:rPr>
          <w:rFonts w:ascii="Trebuchet MS" w:hAnsi="Trebuchet MS" w:cs="Tahoma"/>
          <w:b/>
          <w:bCs/>
          <w:color w:val="auto"/>
        </w:rPr>
        <w:t xml:space="preserve">rt. </w:t>
      </w:r>
      <w:r w:rsidRPr="00CA18D2">
        <w:rPr>
          <w:rFonts w:ascii="Trebuchet MS" w:hAnsi="Trebuchet MS" w:cs="Tahoma"/>
          <w:b/>
          <w:bCs/>
          <w:color w:val="auto"/>
        </w:rPr>
        <w:t>126, apartados 1 y 6, de la LCSP</w:t>
      </w:r>
      <w:r w:rsidRPr="00CA18D2">
        <w:rPr>
          <w:rFonts w:ascii="Trebuchet MS" w:hAnsi="Trebuchet MS" w:cs="Tahoma"/>
          <w:bCs/>
          <w:color w:val="auto"/>
        </w:rPr>
        <w:t xml:space="preserve"> cuando se refieren a que:</w:t>
      </w:r>
    </w:p>
    <w:p w:rsidR="00DB56B8" w:rsidRPr="00CA18D2" w:rsidRDefault="00DB56B8" w:rsidP="00DB56B8">
      <w:pPr>
        <w:pStyle w:val="Default"/>
        <w:spacing w:before="120"/>
        <w:ind w:left="709"/>
        <w:jc w:val="both"/>
        <w:rPr>
          <w:rFonts w:ascii="Trebuchet MS" w:hAnsi="Trebuchet MS" w:cs="Tahoma"/>
          <w:bCs/>
        </w:rPr>
      </w:pPr>
      <w:r w:rsidRPr="00CA18D2">
        <w:rPr>
          <w:rFonts w:ascii="Trebuchet MS" w:hAnsi="Trebuchet MS" w:cs="Tahoma"/>
          <w:bCs/>
          <w:i/>
        </w:rPr>
        <w:t>“Las prescripciones técnicas […] proporcionarán a los empresarios acceso en condiciones de igualdad al procedimiento de contratación y no tendrán</w:t>
      </w:r>
      <w:bookmarkStart w:id="0" w:name="_GoBack"/>
      <w:bookmarkEnd w:id="0"/>
      <w:r w:rsidRPr="00CA18D2">
        <w:rPr>
          <w:rFonts w:ascii="Trebuchet MS" w:hAnsi="Trebuchet MS" w:cs="Tahoma"/>
          <w:bCs/>
          <w:i/>
        </w:rPr>
        <w:t xml:space="preserve"> por efecto la creación de obstáculos injustificados a la apertura de la contratación pública a la competencia”</w:t>
      </w:r>
      <w:r w:rsidRPr="00CA18D2">
        <w:rPr>
          <w:rFonts w:ascii="Trebuchet MS" w:hAnsi="Trebuchet MS" w:cs="Tahoma"/>
          <w:bCs/>
        </w:rPr>
        <w:t>.</w:t>
      </w:r>
    </w:p>
    <w:p w:rsidR="00DB56B8" w:rsidRPr="001E671B" w:rsidRDefault="00DB56B8" w:rsidP="00DB56B8">
      <w:pPr>
        <w:pStyle w:val="Default"/>
        <w:spacing w:after="120"/>
        <w:ind w:left="709"/>
        <w:jc w:val="both"/>
        <w:rPr>
          <w:rFonts w:ascii="Trebuchet MS" w:hAnsi="Trebuchet MS" w:cs="Tahoma"/>
          <w:bCs/>
          <w:sz w:val="20"/>
          <w:szCs w:val="20"/>
        </w:rPr>
      </w:pPr>
      <w:r w:rsidRPr="00CA18D2">
        <w:rPr>
          <w:rFonts w:ascii="Trebuchet MS" w:hAnsi="Trebuchet MS" w:cs="Tahoma"/>
          <w:bCs/>
          <w:i/>
        </w:rPr>
        <w:t>“Salvo que lo justifique el objeto del contrato, las prescripciones técnicas no harán referencia a una fabricación o una procedencia determinada, o a un procedimiento concreto que caracterice a los productos o servicios ofrecidos por un empresario determinado, o a marcas, patentes o tipos, o a</w:t>
      </w:r>
      <w:r w:rsidRPr="001E671B">
        <w:rPr>
          <w:rFonts w:ascii="Trebuchet MS" w:hAnsi="Trebuchet MS" w:cs="Tahoma"/>
          <w:bCs/>
          <w:i/>
        </w:rPr>
        <w:t xml:space="preserve"> un origen o a una producción determinados</w:t>
      </w:r>
      <w:r>
        <w:rPr>
          <w:rFonts w:ascii="Trebuchet MS" w:hAnsi="Trebuchet MS" w:cs="Tahoma"/>
          <w:bCs/>
          <w:i/>
        </w:rPr>
        <w:t>,</w:t>
      </w:r>
      <w:r w:rsidRPr="001E671B">
        <w:rPr>
          <w:rFonts w:ascii="Trebuchet MS" w:hAnsi="Trebuchet MS" w:cs="Tahoma"/>
          <w:bCs/>
          <w:i/>
        </w:rPr>
        <w:t xml:space="preserve"> con la finalidad de favorecer o descartar ciertas empresas o ciertos productos. Tal referencia se autorizará, con carácter excepcional, en el caso en que no sea posible hacer una descripción lo bastante precisa e inteligible del objeto del contrato </w:t>
      </w:r>
      <w:r w:rsidRPr="00CA18D2">
        <w:rPr>
          <w:rFonts w:ascii="Trebuchet MS" w:hAnsi="Trebuchet MS" w:cs="Tahoma"/>
          <w:bCs/>
          <w:i/>
        </w:rPr>
        <w:t>en aplicación del apartado 5, en cuyo caso irá acompañada de la mención «</w:t>
      </w:r>
      <w:r w:rsidRPr="001E671B">
        <w:rPr>
          <w:rFonts w:ascii="Trebuchet MS" w:hAnsi="Trebuchet MS" w:cs="Tahoma"/>
          <w:bCs/>
          <w:i/>
        </w:rPr>
        <w:t>o equivalente»”.</w:t>
      </w:r>
    </w:p>
    <w:p w:rsidR="00DB56B8" w:rsidRPr="001E671B" w:rsidRDefault="00DB56B8" w:rsidP="00DB56B8">
      <w:pPr>
        <w:pStyle w:val="Default"/>
        <w:numPr>
          <w:ilvl w:val="0"/>
          <w:numId w:val="1"/>
        </w:numPr>
        <w:jc w:val="both"/>
        <w:rPr>
          <w:rFonts w:ascii="Trebuchet MS" w:hAnsi="Trebuchet MS" w:cs="Tahoma"/>
          <w:bCs/>
        </w:rPr>
      </w:pPr>
      <w:r w:rsidRPr="001E671B">
        <w:rPr>
          <w:rFonts w:ascii="Trebuchet MS" w:hAnsi="Trebuchet MS" w:cs="Tahoma"/>
          <w:bCs/>
        </w:rPr>
        <w:t>Al establecer las características mínimas debe tenerse en cuenta que deberán excluirse aquellas proposiciones que no cumplan las mismas, por ello, es importante distinguir los requisitos mínimos del equipo o de la prestación que se proponga y aquellos otros que deban valorarse como “mejoras”.</w:t>
      </w:r>
    </w:p>
    <w:p w:rsidR="00DB56B8" w:rsidRPr="001E671B" w:rsidRDefault="00DB56B8" w:rsidP="00DB56B8">
      <w:pPr>
        <w:pStyle w:val="Default"/>
        <w:numPr>
          <w:ilvl w:val="0"/>
          <w:numId w:val="1"/>
        </w:numPr>
        <w:jc w:val="both"/>
        <w:rPr>
          <w:rFonts w:ascii="Trebuchet MS" w:hAnsi="Trebuchet MS" w:cs="Tahoma"/>
          <w:bCs/>
          <w:sz w:val="20"/>
          <w:szCs w:val="20"/>
        </w:rPr>
      </w:pPr>
      <w:r w:rsidRPr="001E671B">
        <w:rPr>
          <w:rFonts w:ascii="Trebuchet MS" w:hAnsi="Trebuchet MS" w:cs="Tahoma"/>
          <w:bCs/>
        </w:rPr>
        <w:t>Para establecer las prescripciones técnicas correspondientes a material informático se aconseja consultar con el Servicio de Informática y Comunicaciones.</w:t>
      </w:r>
    </w:p>
    <w:p w:rsidR="00DB56B8" w:rsidRPr="001E671B" w:rsidRDefault="00DB56B8" w:rsidP="00DB56B8">
      <w:pPr>
        <w:pStyle w:val="Default"/>
        <w:numPr>
          <w:ilvl w:val="0"/>
          <w:numId w:val="1"/>
        </w:numPr>
        <w:jc w:val="both"/>
        <w:rPr>
          <w:rFonts w:ascii="Trebuchet MS" w:hAnsi="Trebuchet MS" w:cs="Tahoma"/>
          <w:bCs/>
        </w:rPr>
      </w:pPr>
      <w:r w:rsidRPr="001E671B">
        <w:rPr>
          <w:rFonts w:ascii="Trebuchet MS" w:hAnsi="Trebuchet MS" w:cs="Tahoma"/>
          <w:bCs/>
        </w:rPr>
        <w:t>Debe incluir el precio de cada una de las unidades en que se descompone el presupuesto y el número estimado de unidades a suministrar, en su caso.</w:t>
      </w:r>
    </w:p>
    <w:p w:rsidR="00DB56B8" w:rsidRPr="006B240E" w:rsidRDefault="00DB56B8" w:rsidP="00DB56B8">
      <w:pPr>
        <w:spacing w:before="120" w:after="120"/>
        <w:ind w:firstLine="284"/>
        <w:jc w:val="both"/>
        <w:rPr>
          <w:rFonts w:ascii="Trebuchet MS" w:hAnsi="Trebuchet MS" w:cs="Tahoma"/>
          <w:bCs/>
          <w:color w:val="000000"/>
          <w:sz w:val="24"/>
          <w:szCs w:val="24"/>
        </w:rPr>
      </w:pPr>
      <w:r w:rsidRPr="006B240E">
        <w:rPr>
          <w:rFonts w:ascii="Trebuchet MS" w:hAnsi="Trebuchet MS" w:cs="Tahoma"/>
          <w:bCs/>
          <w:color w:val="000000"/>
          <w:sz w:val="24"/>
          <w:szCs w:val="24"/>
        </w:rPr>
        <w:t xml:space="preserve">La propuesta de Pliego de Prescripciones Técnicas, que habrá de ser aprobada por el Rector, como órgano de contratación de </w:t>
      </w:r>
      <w:smartTag w:uri="urn:schemas-microsoft-com:office:smarttags" w:element="PersonName">
        <w:smartTagPr>
          <w:attr w:name="ProductID" w:val="la Universidad"/>
        </w:smartTagPr>
        <w:r w:rsidRPr="006B240E">
          <w:rPr>
            <w:rFonts w:ascii="Trebuchet MS" w:hAnsi="Trebuchet MS" w:cs="Tahoma"/>
            <w:bCs/>
            <w:color w:val="000000"/>
            <w:sz w:val="24"/>
            <w:szCs w:val="24"/>
          </w:rPr>
          <w:t>la Universidad</w:t>
        </w:r>
      </w:smartTag>
      <w:r w:rsidRPr="006B240E">
        <w:rPr>
          <w:rFonts w:ascii="Trebuchet MS" w:hAnsi="Trebuchet MS" w:cs="Tahoma"/>
          <w:bCs/>
          <w:color w:val="000000"/>
          <w:sz w:val="24"/>
          <w:szCs w:val="24"/>
        </w:rPr>
        <w:t xml:space="preserve">, además de remitirse por escrito, se enviará por correo electrónico a </w:t>
      </w:r>
      <w:smartTag w:uri="urn:schemas-microsoft-com:office:smarttags" w:element="PersonName">
        <w:smartTagPr>
          <w:attr w:name="ProductID" w:val="la Gerencia"/>
        </w:smartTagPr>
        <w:r w:rsidRPr="006B240E">
          <w:rPr>
            <w:rFonts w:ascii="Trebuchet MS" w:hAnsi="Trebuchet MS" w:cs="Tahoma"/>
            <w:bCs/>
            <w:color w:val="000000"/>
            <w:sz w:val="24"/>
            <w:szCs w:val="24"/>
          </w:rPr>
          <w:t>la Gerencia</w:t>
        </w:r>
      </w:smartTag>
      <w:r w:rsidRPr="006B240E">
        <w:rPr>
          <w:rFonts w:ascii="Trebuchet MS" w:hAnsi="Trebuchet MS" w:cs="Tahoma"/>
          <w:bCs/>
          <w:color w:val="000000"/>
          <w:sz w:val="24"/>
          <w:szCs w:val="24"/>
        </w:rPr>
        <w:t>, Servicio de Gestión Económica y Patrimonio.</w:t>
      </w:r>
    </w:p>
    <w:p w:rsidR="00DB56B8" w:rsidRPr="006B240E" w:rsidRDefault="00DB56B8" w:rsidP="00DB56B8">
      <w:pPr>
        <w:pStyle w:val="Sangradetextonormal"/>
        <w:spacing w:before="120" w:after="120" w:line="240" w:lineRule="auto"/>
        <w:ind w:left="0" w:firstLine="284"/>
        <w:rPr>
          <w:rFonts w:ascii="Trebuchet MS" w:hAnsi="Trebuchet MS"/>
          <w:color w:val="000000"/>
          <w:szCs w:val="24"/>
        </w:rPr>
      </w:pPr>
      <w:r w:rsidRPr="006B240E">
        <w:rPr>
          <w:rFonts w:ascii="Trebuchet MS" w:hAnsi="Trebuchet MS" w:cs="Tahoma"/>
          <w:bCs/>
          <w:color w:val="000000"/>
          <w:szCs w:val="24"/>
        </w:rPr>
        <w:t xml:space="preserve">Igualmente, podrán proponerse, </w:t>
      </w:r>
      <w:r w:rsidRPr="006B240E">
        <w:rPr>
          <w:rFonts w:ascii="Trebuchet MS" w:hAnsi="Trebuchet MS"/>
          <w:color w:val="000000"/>
          <w:szCs w:val="24"/>
        </w:rPr>
        <w:t>para su inclusión en el Pliego de Cláusulas Administrativas Particulares, cuantas observaciones consideren necesarias, tales como:</w:t>
      </w:r>
    </w:p>
    <w:p w:rsidR="00DB56B8" w:rsidRPr="001E671B" w:rsidRDefault="00DB56B8" w:rsidP="00DB56B8">
      <w:pPr>
        <w:pStyle w:val="Sangradetextonormal"/>
        <w:numPr>
          <w:ilvl w:val="1"/>
          <w:numId w:val="1"/>
        </w:numPr>
        <w:spacing w:line="240" w:lineRule="auto"/>
        <w:jc w:val="left"/>
        <w:rPr>
          <w:rFonts w:ascii="Trebuchet MS" w:hAnsi="Trebuchet MS"/>
          <w:color w:val="000000"/>
          <w:szCs w:val="24"/>
        </w:rPr>
      </w:pPr>
      <w:r w:rsidRPr="001E671B">
        <w:rPr>
          <w:rFonts w:ascii="Trebuchet MS" w:hAnsi="Trebuchet MS"/>
          <w:color w:val="000000"/>
          <w:szCs w:val="24"/>
        </w:rPr>
        <w:t>Responsable del contrato.</w:t>
      </w:r>
    </w:p>
    <w:p w:rsidR="00DB56B8" w:rsidRPr="001E671B" w:rsidRDefault="00DB56B8" w:rsidP="00DB56B8">
      <w:pPr>
        <w:pStyle w:val="Sangradetextonormal"/>
        <w:numPr>
          <w:ilvl w:val="1"/>
          <w:numId w:val="1"/>
        </w:numPr>
        <w:spacing w:line="240" w:lineRule="auto"/>
        <w:jc w:val="left"/>
        <w:rPr>
          <w:rFonts w:ascii="Trebuchet MS" w:hAnsi="Trebuchet MS"/>
          <w:color w:val="000000"/>
          <w:szCs w:val="24"/>
        </w:rPr>
      </w:pPr>
      <w:r w:rsidRPr="001E671B">
        <w:rPr>
          <w:rFonts w:ascii="Trebuchet MS" w:hAnsi="Trebuchet MS"/>
          <w:color w:val="000000"/>
          <w:szCs w:val="24"/>
        </w:rPr>
        <w:t>Plazo máximo de ejecución.</w:t>
      </w:r>
    </w:p>
    <w:p w:rsidR="00DB56B8" w:rsidRPr="001E671B" w:rsidRDefault="00DB56B8" w:rsidP="00DB56B8">
      <w:pPr>
        <w:pStyle w:val="Sangradetextonormal"/>
        <w:numPr>
          <w:ilvl w:val="1"/>
          <w:numId w:val="1"/>
        </w:numPr>
        <w:spacing w:line="240" w:lineRule="auto"/>
        <w:jc w:val="left"/>
        <w:rPr>
          <w:rFonts w:ascii="Trebuchet MS" w:hAnsi="Trebuchet MS"/>
          <w:color w:val="000000"/>
          <w:szCs w:val="24"/>
        </w:rPr>
      </w:pPr>
      <w:r w:rsidRPr="001E671B">
        <w:rPr>
          <w:rFonts w:ascii="Trebuchet MS" w:hAnsi="Trebuchet MS"/>
          <w:color w:val="000000"/>
          <w:szCs w:val="24"/>
        </w:rPr>
        <w:t>Plazo de garantía.</w:t>
      </w:r>
    </w:p>
    <w:p w:rsidR="00DB56B8" w:rsidRPr="001E671B" w:rsidRDefault="00DB56B8" w:rsidP="00DB56B8">
      <w:pPr>
        <w:pStyle w:val="Sangradetextonormal"/>
        <w:numPr>
          <w:ilvl w:val="1"/>
          <w:numId w:val="1"/>
        </w:numPr>
        <w:spacing w:line="240" w:lineRule="auto"/>
        <w:jc w:val="left"/>
        <w:rPr>
          <w:rFonts w:ascii="Trebuchet MS" w:hAnsi="Trebuchet MS"/>
          <w:color w:val="000000"/>
          <w:szCs w:val="24"/>
        </w:rPr>
      </w:pPr>
      <w:r w:rsidRPr="001E671B">
        <w:rPr>
          <w:rFonts w:ascii="Trebuchet MS" w:hAnsi="Trebuchet MS"/>
          <w:color w:val="000000"/>
          <w:szCs w:val="24"/>
        </w:rPr>
        <w:t>Forma de pago: pago único o pagos parciales.</w:t>
      </w:r>
    </w:p>
    <w:p w:rsidR="00DB56B8" w:rsidRPr="00DB56B8" w:rsidRDefault="00DB56B8" w:rsidP="00DB56B8"/>
    <w:sectPr w:rsidR="00DB56B8" w:rsidRPr="00DB56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41" w:rsidRDefault="00EC3F41" w:rsidP="00EB3BAA">
      <w:r>
        <w:separator/>
      </w:r>
    </w:p>
  </w:endnote>
  <w:endnote w:type="continuationSeparator" w:id="0">
    <w:p w:rsidR="00EC3F41" w:rsidRDefault="00EC3F41" w:rsidP="00E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41" w:rsidRDefault="00EC3F41" w:rsidP="00EB3BAA">
      <w:r>
        <w:separator/>
      </w:r>
    </w:p>
  </w:footnote>
  <w:footnote w:type="continuationSeparator" w:id="0">
    <w:p w:rsidR="00EC3F41" w:rsidRDefault="00EC3F41" w:rsidP="00EB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BAA" w:rsidRPr="00EB3BAA" w:rsidRDefault="00EB3BAA" w:rsidP="00EB3BAA">
    <w:pPr>
      <w:framePr w:h="1418" w:hSpace="142" w:wrap="around" w:vAnchor="page" w:hAnchor="page" w:x="615" w:y="185" w:anchorLock="1"/>
      <w:rPr>
        <w:rFonts w:ascii="Trebuchet MS" w:hAnsi="Trebuchet MS"/>
        <w:noProof/>
      </w:rPr>
    </w:pPr>
    <w:r w:rsidRPr="00EB3BAA">
      <w:rPr>
        <w:rFonts w:ascii="Trebuchet MS" w:hAnsi="Trebuchet MS"/>
        <w:noProof/>
      </w:rPr>
      <w:drawing>
        <wp:inline distT="0" distB="0" distL="0" distR="0">
          <wp:extent cx="1266825" cy="795826"/>
          <wp:effectExtent l="0" t="0" r="0" b="4445"/>
          <wp:docPr id="1" name="Imagen 1" descr="escudo-bndere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bndere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335" cy="802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3BAA" w:rsidRDefault="00EB3BAA">
    <w:pPr>
      <w:pStyle w:val="Encabezado"/>
    </w:pPr>
  </w:p>
  <w:p w:rsidR="00EB3BAA" w:rsidRPr="00EB3BAA" w:rsidRDefault="00EB3BAA" w:rsidP="00EB3BAA">
    <w:pPr>
      <w:tabs>
        <w:tab w:val="center" w:pos="4252"/>
        <w:tab w:val="right" w:pos="8504"/>
      </w:tabs>
      <w:jc w:val="right"/>
      <w:rPr>
        <w:rFonts w:ascii="Trebuchet MS" w:hAnsi="Trebuchet MS"/>
        <w:sz w:val="18"/>
        <w:szCs w:val="18"/>
      </w:rPr>
    </w:pPr>
    <w:r w:rsidRPr="00EB3BAA">
      <w:rPr>
        <w:rFonts w:ascii="Trebuchet MS" w:hAnsi="Trebuchet MS"/>
        <w:sz w:val="18"/>
        <w:szCs w:val="18"/>
      </w:rPr>
      <w:t>ECM</w:t>
    </w:r>
  </w:p>
  <w:p w:rsidR="00EB3BAA" w:rsidRPr="00EB3BAA" w:rsidRDefault="00EB3BAA" w:rsidP="00EB3BAA">
    <w:pPr>
      <w:tabs>
        <w:tab w:val="center" w:pos="4252"/>
        <w:tab w:val="right" w:pos="8504"/>
      </w:tabs>
      <w:jc w:val="right"/>
      <w:rPr>
        <w:rFonts w:ascii="Trebuchet MS" w:hAnsi="Trebuchet MS"/>
        <w:sz w:val="18"/>
        <w:szCs w:val="18"/>
      </w:rPr>
    </w:pPr>
    <w:r w:rsidRPr="00EB3BAA">
      <w:rPr>
        <w:rFonts w:ascii="Trebuchet MS" w:hAnsi="Trebuchet MS"/>
        <w:sz w:val="18"/>
        <w:szCs w:val="18"/>
      </w:rPr>
      <w:t xml:space="preserve">Servicio de </w:t>
    </w:r>
    <w:r w:rsidR="006F6862">
      <w:rPr>
        <w:rFonts w:ascii="Trebuchet MS" w:hAnsi="Trebuchet MS"/>
        <w:sz w:val="18"/>
        <w:szCs w:val="18"/>
      </w:rPr>
      <w:t>Contratación</w:t>
    </w:r>
    <w:r w:rsidRPr="00EB3BAA">
      <w:rPr>
        <w:rFonts w:ascii="Trebuchet MS" w:hAnsi="Trebuchet MS"/>
        <w:sz w:val="18"/>
        <w:szCs w:val="18"/>
      </w:rPr>
      <w:t xml:space="preserve"> y Patrimonio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63496"/>
    <w:multiLevelType w:val="hybridMultilevel"/>
    <w:tmpl w:val="EA902E46"/>
    <w:lvl w:ilvl="0" w:tplc="9B14D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EF8A4FC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B2"/>
    <w:rsid w:val="00135C84"/>
    <w:rsid w:val="006F6862"/>
    <w:rsid w:val="00B405B2"/>
    <w:rsid w:val="00DB56B8"/>
    <w:rsid w:val="00EB3BAA"/>
    <w:rsid w:val="00EC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E4D5D6"/>
  <w15:chartTrackingRefBased/>
  <w15:docId w15:val="{46751A17-366B-4FCE-B187-095B18F7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EB3BAA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EB3BA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EB3BAA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B3B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3BAA"/>
  </w:style>
  <w:style w:type="paragraph" w:styleId="Piedepgina">
    <w:name w:val="footer"/>
    <w:basedOn w:val="Normal"/>
    <w:link w:val="PiedepginaCar"/>
    <w:uiPriority w:val="99"/>
    <w:unhideWhenUsed/>
    <w:rsid w:val="00EB3B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BAA"/>
  </w:style>
  <w:style w:type="paragraph" w:styleId="Sangradetextonormal">
    <w:name w:val="Body Text Indent"/>
    <w:basedOn w:val="Normal"/>
    <w:link w:val="SangradetextonormalCar"/>
    <w:rsid w:val="00DB56B8"/>
    <w:pPr>
      <w:spacing w:line="360" w:lineRule="auto"/>
      <w:ind w:left="993"/>
      <w:jc w:val="both"/>
    </w:pPr>
    <w:rPr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B56B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DB56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V. Yolanda Alonso Salán</dc:creator>
  <cp:keywords/>
  <dc:description/>
  <cp:lastModifiedBy>Mª V. Yolanda Alonso Salán</cp:lastModifiedBy>
  <cp:revision>2</cp:revision>
  <dcterms:created xsi:type="dcterms:W3CDTF">2020-06-30T09:50:00Z</dcterms:created>
  <dcterms:modified xsi:type="dcterms:W3CDTF">2020-06-30T09:50:00Z</dcterms:modified>
</cp:coreProperties>
</file>